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03" w:rsidRPr="00612F4D" w:rsidRDefault="00082A6F" w:rsidP="00612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</w:t>
      </w:r>
      <w:r w:rsidR="006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 31.10.2019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17220" w:rsidRPr="00617220" w:rsidRDefault="00617220" w:rsidP="00617220">
      <w:pPr>
        <w:shd w:val="clear" w:color="auto" w:fill="F9F9F9"/>
        <w:spacing w:line="20" w:lineRule="atLeast"/>
        <w:ind w:right="-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комиссии по повышению устойчивости функционирования организаций</w:t>
      </w:r>
    </w:p>
    <w:p w:rsid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Шапкинского сельского поселения 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17220" w:rsidRPr="00617220" w:rsidRDefault="00617220" w:rsidP="00617220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5"/>
        </w:numPr>
        <w:shd w:val="clear" w:color="auto" w:fill="F9F9F9"/>
        <w:tabs>
          <w:tab w:val="clear" w:pos="720"/>
          <w:tab w:val="num" w:pos="0"/>
        </w:tabs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Общее положение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чрезвычайной ситуации в мирное и военное время (далее – Комиссия по ПУФ).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1.2. Комиссия по ПУФ является постоянно действующим органом. Комиссия по ПУФ создается в целях планирования, </w:t>
      </w:r>
      <w:hyperlink r:id="rId5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организации контроля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 и координации выполнения мероприятий по обеспечению устойчивости функционирования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r w:rsidRPr="00617220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в мирное и военное время.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Комиссия по ПУФ осуществляет свою деятельность в соответствии </w:t>
      </w:r>
      <w:hyperlink r:id="rId6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Конституцией Российской Федерации</w:t>
        </w:r>
      </w:hyperlink>
      <w:r w:rsidRPr="00617220">
        <w:rPr>
          <w:rFonts w:ascii="Times New Roman" w:hAnsi="Times New Roman" w:cs="Times New Roman"/>
          <w:sz w:val="24"/>
          <w:szCs w:val="24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1.4. Положение о Комиссии по П</w:t>
      </w:r>
      <w:r>
        <w:rPr>
          <w:rFonts w:ascii="Times New Roman" w:hAnsi="Times New Roman" w:cs="Times New Roman"/>
          <w:sz w:val="24"/>
          <w:szCs w:val="24"/>
        </w:rPr>
        <w:t>УФ утверждается постановлением а</w:t>
      </w:r>
      <w:r w:rsidRPr="00617220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области.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 </w:t>
      </w:r>
    </w:p>
    <w:p w:rsidR="00617220" w:rsidRPr="00612F4D" w:rsidRDefault="00617220" w:rsidP="00612F4D">
      <w:pPr>
        <w:numPr>
          <w:ilvl w:val="0"/>
          <w:numId w:val="6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Комиссии по ПУФ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2.1. Основными задачами Комиссии по ПУФ являются: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2.1.1. Разработка </w:t>
      </w:r>
      <w:hyperlink r:id="rId7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правовых актов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 в области повышения устойчивости функционирования организаций,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2.1.2. Организация работы 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2.1.3. Обеспечение согласованности действий администрации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и организаций, независимо от форм собственности, расположенных на территории поселения, при решении вопросов восстановления и </w:t>
      </w:r>
      <w:hyperlink r:id="rId8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строительства жилых</w:t>
        </w:r>
      </w:hyperlink>
      <w:r w:rsidRPr="00617220">
        <w:rPr>
          <w:rFonts w:ascii="Times New Roman" w:hAnsi="Times New Roman" w:cs="Times New Roman"/>
          <w:sz w:val="24"/>
          <w:szCs w:val="24"/>
        </w:rPr>
        <w:t xml:space="preserve"> домов, объектов </w:t>
      </w:r>
      <w:hyperlink r:id="rId9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жилищно-коммунального хозяйства</w:t>
        </w:r>
      </w:hyperlink>
      <w:r w:rsidRPr="00617220">
        <w:rPr>
          <w:rFonts w:ascii="Times New Roman" w:hAnsi="Times New Roman" w:cs="Times New Roman"/>
          <w:sz w:val="24"/>
          <w:szCs w:val="24"/>
        </w:rPr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612F4D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617220" w:rsidRPr="00612F4D" w:rsidRDefault="00617220" w:rsidP="00612F4D">
      <w:pPr>
        <w:numPr>
          <w:ilvl w:val="0"/>
          <w:numId w:val="7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Функции Комиссии по ПУФ</w:t>
      </w:r>
      <w:r w:rsidR="00612F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3.1.  Основными функциями Комиссии по ПУФ являются: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3.1.1 Подготовка предложений по дальнейшему улучшению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в целях снижения потерь и разрушений в результате возникновения чрезвычайных ситуаций, а также в военное время.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3.1.3. Взаимодействие с организациями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.</w:t>
      </w:r>
    </w:p>
    <w:p w:rsidR="00612F4D" w:rsidRPr="00617220" w:rsidRDefault="00612F4D" w:rsidP="00612F4D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8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4.1. Комиссия по ПУФ в пределах своей компетенции имеет право: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4.1.1. Организовывать и участвовать в мероприятиях, относящихся к решению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вопросов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проводимых в поселении.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при возникновении чрезвычайной ситуации в мирное и военное время.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4.1.3. Запрашивать и получать в установленном порядке данные, необходимые для работы Комиссии по ПУФ. </w:t>
      </w:r>
    </w:p>
    <w:p w:rsidR="00617220" w:rsidRPr="00612F4D" w:rsidRDefault="00617220" w:rsidP="00612F4D">
      <w:pPr>
        <w:numPr>
          <w:ilvl w:val="0"/>
          <w:numId w:val="9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5.1. Состав Комиссии по ПУФ формируется из руководителей организаций, расположенных на территории  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областиили их заместителей</w:t>
      </w:r>
      <w:r w:rsidRPr="00617220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5.2. Председателем Комиссии по ПУФ </w:t>
      </w:r>
      <w:r w:rsidR="00612F4D">
        <w:rPr>
          <w:rFonts w:ascii="Times New Roman" w:hAnsi="Times New Roman" w:cs="Times New Roman"/>
          <w:sz w:val="24"/>
          <w:szCs w:val="24"/>
        </w:rPr>
        <w:t xml:space="preserve">является глава </w:t>
      </w:r>
      <w:r w:rsidRPr="006172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5.3. Председатель Комиссии по ПУФ распределяет 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5.4. Состав Комиссии по П</w:t>
      </w:r>
      <w:r w:rsidR="00612F4D">
        <w:rPr>
          <w:rFonts w:ascii="Times New Roman" w:hAnsi="Times New Roman" w:cs="Times New Roman"/>
          <w:sz w:val="24"/>
          <w:szCs w:val="24"/>
        </w:rPr>
        <w:t>УФ утверждается постановлением а</w:t>
      </w:r>
      <w:r w:rsidRPr="006172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. 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2F4D" w:rsidRDefault="00617220" w:rsidP="00612F4D">
      <w:pPr>
        <w:numPr>
          <w:ilvl w:val="0"/>
          <w:numId w:val="10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Организация работы Комиссии по ПУФ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6.1. В режиме повседневной деятельности: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координация работы руководящего состава, сил и средств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подготовка организаций, независимо от форм собственности, расположенных на территории поселения, к работе в чрезвычайных ситуациях;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разработка, планирование и осуществление мероприятий по повышению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экстремальных условиях;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организация работы Комиссии по ПУФ в соответствии с годовым планом;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проведение заседаний, с рассмотрением вопросов в области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 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защиты населения и территории от ЧС.</w:t>
      </w:r>
    </w:p>
    <w:p w:rsidR="00617220" w:rsidRPr="00617220" w:rsidRDefault="00617220" w:rsidP="00612F4D">
      <w:pPr>
        <w:shd w:val="clear" w:color="auto" w:fill="F9F9F9"/>
        <w:spacing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lastRenderedPageBreak/>
        <w:t xml:space="preserve">– координирует свою работу по вопросам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расположенных на территории поселения  с комиссией по предупреждению и ликвидации чрезвычайных ситуаций и обеспечению </w:t>
      </w:r>
      <w:hyperlink r:id="rId10" w:history="1">
        <w:r w:rsidRPr="0061722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пожарной безопасности</w:t>
        </w:r>
      </w:hyperlink>
      <w:r w:rsidRPr="00617220">
        <w:rPr>
          <w:rFonts w:ascii="Times New Roman" w:hAnsi="Times New Roman" w:cs="Times New Roman"/>
          <w:sz w:val="24"/>
          <w:szCs w:val="24"/>
        </w:rPr>
        <w:t> поселения;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6.3. В режиме чрезвычайной ситуации: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обобщает данные обстановки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6.4. При переводе организаций, расположенных на территории поселения, на работу по планам военного времени: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 xml:space="preserve">–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612F4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Pr="00617220">
        <w:rPr>
          <w:rFonts w:ascii="Times New Roman" w:hAnsi="Times New Roman" w:cs="Times New Roman"/>
          <w:sz w:val="24"/>
          <w:szCs w:val="24"/>
        </w:rPr>
        <w:t xml:space="preserve"> в ходе перевода системы гражданской обороны </w:t>
      </w:r>
      <w:proofErr w:type="gramStart"/>
      <w:r w:rsidRPr="006172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220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положение;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  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 </w:t>
      </w:r>
    </w:p>
    <w:p w:rsidR="00617220" w:rsidRPr="00612F4D" w:rsidRDefault="00617220" w:rsidP="00612F4D">
      <w:pPr>
        <w:numPr>
          <w:ilvl w:val="0"/>
          <w:numId w:val="11"/>
        </w:num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Заседание Комиссии по ПУФ и порядок ее работы</w:t>
      </w:r>
      <w:r w:rsidR="00612F4D">
        <w:rPr>
          <w:rFonts w:ascii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</w:rPr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617220" w:rsidRPr="00617220" w:rsidRDefault="00617220" w:rsidP="00612F4D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7220" w:rsidRPr="00617220" w:rsidRDefault="00617220" w:rsidP="00617220">
      <w:pPr>
        <w:shd w:val="clear" w:color="auto" w:fill="F9F9F9"/>
        <w:spacing w:after="240" w:line="20" w:lineRule="atLeast"/>
        <w:ind w:left="-851" w:right="-284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1203" w:rsidRDefault="00911203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72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4D" w:rsidRDefault="00612F4D" w:rsidP="00612F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31.10.2019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12F4D" w:rsidRDefault="00612F4D" w:rsidP="00612F4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 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комиссии по повышению устойчивости функционирования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организаций на территории  Шапкинского сельского поселения </w:t>
      </w:r>
    </w:p>
    <w:p w:rsidR="00F32A49" w:rsidRPr="00680CEC" w:rsidRDefault="00F32A49" w:rsidP="00F32A49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12F4D" w:rsidRPr="00612F4D" w:rsidRDefault="00612F4D" w:rsidP="00612F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840"/>
        <w:gridCol w:w="6138"/>
      </w:tblGrid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Шапкинского сельского поселения Тосненского района Ленинградской области</w:t>
            </w:r>
          </w:p>
        </w:tc>
      </w:tr>
      <w:tr w:rsidR="00612F4D" w:rsidRPr="00612F4D" w:rsidTr="00612F4D">
        <w:trPr>
          <w:trHeight w:val="11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D" w:rsidRPr="00F32A49" w:rsidRDefault="00612F4D" w:rsidP="00F3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делопроизводству, кадрам, архиву, ТОС администрации Шапкинского сельского поселения Тосненского района Ленинградской области </w:t>
            </w:r>
          </w:p>
        </w:tc>
      </w:tr>
      <w:tr w:rsidR="00612F4D" w:rsidRPr="00612F4D" w:rsidTr="00F32A49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D" w:rsidRPr="00F32A49" w:rsidRDefault="0061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ГО и ЧС, ПБ и информационному обеспечению</w:t>
            </w:r>
          </w:p>
        </w:tc>
      </w:tr>
      <w:tr w:rsidR="00612F4D" w:rsidRPr="00612F4D" w:rsidTr="00F32A49">
        <w:trPr>
          <w:trHeight w:val="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Член инициативной комиссии п. Шапки</w:t>
            </w:r>
          </w:p>
        </w:tc>
      </w:tr>
      <w:tr w:rsidR="00612F4D" w:rsidRPr="00612F4D" w:rsidTr="00612F4D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лыжной базой п. Шапки МКУ СДЦ «Атлант»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 w:rsidP="00F32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612F4D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F32A49" w:rsidP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4D" w:rsidRPr="00612F4D" w:rsidRDefault="0061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4D">
              <w:rPr>
                <w:rFonts w:ascii="Times New Roman" w:hAnsi="Times New Roman" w:cs="Times New Roman"/>
                <w:sz w:val="24"/>
                <w:szCs w:val="24"/>
              </w:rPr>
              <w:t>Заведующая ФАП п. Шапки</w:t>
            </w:r>
          </w:p>
        </w:tc>
      </w:tr>
      <w:tr w:rsidR="00F32A49" w:rsidRPr="00612F4D" w:rsidTr="00612F4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 w:rsidP="00F32A4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F32A49" w:rsidRPr="00F32A49" w:rsidRDefault="00F32A49" w:rsidP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9" w:rsidRPr="00F32A49" w:rsidRDefault="00F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49">
              <w:rPr>
                <w:rFonts w:ascii="Times New Roman" w:hAnsi="Times New Roman" w:cs="Times New Roman"/>
                <w:sz w:val="24"/>
                <w:szCs w:val="24"/>
              </w:rPr>
              <w:t>Депутат Шапкинского сельского поселения Тосненского района Ленинградской области</w:t>
            </w:r>
          </w:p>
        </w:tc>
      </w:tr>
    </w:tbl>
    <w:p w:rsidR="00612F4D" w:rsidRDefault="00612F4D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C" w:rsidRDefault="00680CEC" w:rsidP="00680CE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                   о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 31.10.2019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p w:rsid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680CEC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План работы 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комиссии по повышению устойчивости функционирования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организаций на территории  Шапкинского сельского поселения </w:t>
      </w:r>
    </w:p>
    <w:p w:rsidR="00680CEC" w:rsidRPr="00680CEC" w:rsidRDefault="00680CEC" w:rsidP="00680CEC">
      <w:pPr>
        <w:shd w:val="clear" w:color="auto" w:fill="F9F9F9"/>
        <w:spacing w:line="20" w:lineRule="atLeast"/>
        <w:ind w:left="-851" w:right="-284" w:firstLine="851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0CE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Тосненского района Ленинградской области</w:t>
      </w:r>
    </w:p>
    <w:p w:rsidR="00680CEC" w:rsidRDefault="00680CEC" w:rsidP="00680CEC">
      <w:pPr>
        <w:shd w:val="clear" w:color="auto" w:fill="FFFFFF"/>
        <w:ind w:firstLine="567"/>
        <w:jc w:val="center"/>
        <w:rPr>
          <w:b/>
          <w:iCs/>
          <w:color w:val="000000"/>
          <w:spacing w:val="-4"/>
        </w:rPr>
      </w:pPr>
    </w:p>
    <w:tbl>
      <w:tblPr>
        <w:tblpPr w:leftFromText="180" w:rightFromText="180" w:bottomFromText="200" w:vertAnchor="text" w:horzAnchor="margin" w:tblpXSpec="center" w:tblpY="136"/>
        <w:tblW w:w="9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600"/>
        <w:gridCol w:w="5231"/>
        <w:gridCol w:w="1732"/>
        <w:gridCol w:w="1812"/>
      </w:tblGrid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объектов и их составляющих в системах водо-тепло и </w:t>
            </w: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электро-снабжения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, в противопожарном отношении и других вопросов безопасности, принятие решения на проведение мероприятий, обеспечивающих устойчивость работы объектов в экстремальных условиях;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с руководящим составом о порядке выполнения функциональных обязанностей в экстремальных условиях.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плана ГО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Уточнение плана-графика наращивания мероприятий по устойчивости функционирования обеспечение и контроль выполнения планируемых мероприятий.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охране труда и технике безопасности, гражданской обороне и пожарной безопасности с вновь </w:t>
            </w:r>
            <w:proofErr w:type="gramStart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поступающими</w:t>
            </w:r>
            <w:proofErr w:type="gramEnd"/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 w:rsidP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противопожарной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мест повышенной опасности и прогнозирование возможной чрезвычайной ситуации, влияющей на устойчивое функционирование объектов.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инструкций и рекомендаций по действиям сотрудников в чрезвычайных ситуациях, нарушающих устойчивое функционирование сельского поселения.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0CEC" w:rsidRP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  <w:tr w:rsidR="00680CEC" w:rsidTr="00680C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CEC" w:rsidRDefault="00680CEC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</w:t>
            </w:r>
            <w:r w:rsidR="0068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 за 2019 год и постановка задач на 2020 год</w:t>
            </w:r>
            <w:r w:rsidR="00680CEC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Плана работы комиссии на 2020 год.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0CEC" w:rsidRPr="00680CEC" w:rsidRDefault="00495604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 члены комиссии</w:t>
            </w:r>
          </w:p>
        </w:tc>
      </w:tr>
    </w:tbl>
    <w:p w:rsidR="00680CEC" w:rsidRPr="00612F4D" w:rsidRDefault="00680CEC" w:rsidP="00612F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CEC" w:rsidRPr="00612F4D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5EB"/>
    <w:multiLevelType w:val="multilevel"/>
    <w:tmpl w:val="A160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3F6B"/>
    <w:multiLevelType w:val="hybridMultilevel"/>
    <w:tmpl w:val="E0A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54D9"/>
    <w:multiLevelType w:val="multilevel"/>
    <w:tmpl w:val="B1045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26B0E"/>
    <w:multiLevelType w:val="multilevel"/>
    <w:tmpl w:val="8530F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7622"/>
    <w:multiLevelType w:val="multilevel"/>
    <w:tmpl w:val="9386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1D66"/>
    <w:multiLevelType w:val="multilevel"/>
    <w:tmpl w:val="366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2080"/>
    <w:multiLevelType w:val="multilevel"/>
    <w:tmpl w:val="0CA68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10C2A"/>
    <w:multiLevelType w:val="multilevel"/>
    <w:tmpl w:val="BD76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07B7A"/>
    <w:multiLevelType w:val="multilevel"/>
    <w:tmpl w:val="8B5E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6F"/>
    <w:rsid w:val="00024FCE"/>
    <w:rsid w:val="00082A6F"/>
    <w:rsid w:val="0036379D"/>
    <w:rsid w:val="00495604"/>
    <w:rsid w:val="004E0BE1"/>
    <w:rsid w:val="0053340E"/>
    <w:rsid w:val="005D680E"/>
    <w:rsid w:val="00612F4D"/>
    <w:rsid w:val="00617220"/>
    <w:rsid w:val="00680CEC"/>
    <w:rsid w:val="006C6BF7"/>
    <w:rsid w:val="00701995"/>
    <w:rsid w:val="00785301"/>
    <w:rsid w:val="0078556E"/>
    <w:rsid w:val="00874A9E"/>
    <w:rsid w:val="008F5F63"/>
    <w:rsid w:val="008F7544"/>
    <w:rsid w:val="00911203"/>
    <w:rsid w:val="0092390E"/>
    <w:rsid w:val="00937951"/>
    <w:rsid w:val="00C315B5"/>
    <w:rsid w:val="00CB34C5"/>
    <w:rsid w:val="00CC059E"/>
    <w:rsid w:val="00D26B7D"/>
    <w:rsid w:val="00DE5DF8"/>
    <w:rsid w:val="00DF536C"/>
    <w:rsid w:val="00E103C4"/>
    <w:rsid w:val="00F00E6C"/>
    <w:rsid w:val="00F3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stvo_zhilmz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ganizatcii_kontrolya/" TargetMode="Externa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hilish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2019-11-06T11:25:00Z</cp:lastPrinted>
  <dcterms:created xsi:type="dcterms:W3CDTF">2019-11-06T11:25:00Z</dcterms:created>
  <dcterms:modified xsi:type="dcterms:W3CDTF">2019-11-07T10:57:00Z</dcterms:modified>
</cp:coreProperties>
</file>